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5DE" w:rsidRDefault="000545DE">
      <w:pPr>
        <w:bidi/>
        <w:jc w:val="center"/>
        <w:rPr>
          <w:rFonts w:ascii="Andalus" w:hAnsi="Andalus" w:cs="Andalus"/>
          <w:color w:val="C00000"/>
          <w:sz w:val="44"/>
          <w:szCs w:val="44"/>
        </w:rPr>
      </w:pPr>
    </w:p>
    <w:p w:rsidR="000545DE" w:rsidRDefault="000545DE">
      <w:pPr>
        <w:bidi/>
        <w:jc w:val="center"/>
        <w:rPr>
          <w:rFonts w:ascii="Andalus" w:hAnsi="Andalus" w:cs="Andalus"/>
          <w:color w:val="C00000"/>
          <w:sz w:val="44"/>
          <w:szCs w:val="44"/>
        </w:rPr>
      </w:pPr>
    </w:p>
    <w:p w:rsidR="000545DE" w:rsidRDefault="00DC469F">
      <w:pPr>
        <w:bidi/>
        <w:jc w:val="center"/>
        <w:rPr>
          <w:rFonts w:ascii="Andalus" w:hAnsi="Andalus" w:cs="Andalus"/>
          <w:color w:val="C00000"/>
          <w:sz w:val="44"/>
          <w:szCs w:val="44"/>
        </w:rPr>
      </w:pPr>
      <w:r>
        <w:rPr>
          <w:rFonts w:ascii="Andalus" w:hAnsi="Andalus" w:cs="Andalus"/>
          <w:color w:val="C00000"/>
          <w:sz w:val="44"/>
          <w:szCs w:val="44"/>
          <w:rtl/>
        </w:rPr>
        <w:t>آليات وممارسـات العـدالـة</w:t>
      </w:r>
    </w:p>
    <w:p w:rsidR="000545DE" w:rsidRDefault="00DC469F">
      <w:pPr>
        <w:bidi/>
        <w:rPr>
          <w:rFonts w:ascii="Traditional Arabic" w:hAnsi="Traditional Arabic" w:cs="Traditional Arabic"/>
          <w:color w:val="0070C0"/>
          <w:sz w:val="40"/>
          <w:szCs w:val="40"/>
        </w:rPr>
      </w:pPr>
      <w:r>
        <w:rPr>
          <w:rFonts w:ascii="Traditional Arabic" w:hAnsi="Traditional Arabic" w:cs="Traditional Arabic"/>
          <w:color w:val="0070C0"/>
          <w:sz w:val="40"/>
          <w:szCs w:val="40"/>
          <w:rtl/>
        </w:rPr>
        <w:t>توجد إجراءات محددة ومعلنة ومطبقة بالفعل لضمان العدالة وعدم التمييز بين أعضاء التدريس ومعاونيهم والطلاب بالإضافة إلى العاملين بالكلية ، وتتمثل تلك الإجراءات في</w:t>
      </w:r>
      <w:r>
        <w:rPr>
          <w:rFonts w:ascii="Traditional Arabic" w:hAnsi="Traditional Arabic" w:cs="Traditional Arabic"/>
          <w:color w:val="0070C0"/>
          <w:sz w:val="40"/>
          <w:szCs w:val="40"/>
        </w:rPr>
        <w:t xml:space="preserve"> :</w:t>
      </w:r>
    </w:p>
    <w:p w:rsidR="000545DE" w:rsidRDefault="00DC469F">
      <w:pPr>
        <w:pStyle w:val="ListParagraph"/>
        <w:numPr>
          <w:ilvl w:val="0"/>
          <w:numId w:val="1"/>
        </w:numPr>
        <w:bidi/>
        <w:rPr>
          <w:rFonts w:ascii="Traditional Arabic" w:hAnsi="Traditional Arabic" w:cs="Traditional Arabic"/>
          <w:sz w:val="40"/>
          <w:szCs w:val="40"/>
        </w:rPr>
      </w:pPr>
      <w:r>
        <w:rPr>
          <w:rFonts w:ascii="Traditional Arabic" w:hAnsi="Traditional Arabic" w:cs="Traditional Arabic"/>
          <w:sz w:val="40"/>
          <w:szCs w:val="40"/>
          <w:rtl/>
        </w:rPr>
        <w:t>وجود نظام بالكلية لتعيين أعضاء هئية التدريس والهيئة المعاونة وذلك لضمان العدالة وعدم التمييز .</w:t>
      </w:r>
    </w:p>
    <w:p w:rsidR="000545DE" w:rsidRDefault="00DC469F">
      <w:pPr>
        <w:pStyle w:val="ListParagraph"/>
        <w:numPr>
          <w:ilvl w:val="0"/>
          <w:numId w:val="1"/>
        </w:numPr>
        <w:bidi/>
        <w:rPr>
          <w:rFonts w:ascii="Traditional Arabic" w:hAnsi="Traditional Arabic" w:cs="Traditional Arabic"/>
          <w:sz w:val="40"/>
          <w:szCs w:val="40"/>
        </w:rPr>
      </w:pPr>
      <w:r>
        <w:rPr>
          <w:rFonts w:ascii="Traditional Arabic" w:hAnsi="Traditional Arabic" w:cs="Traditional Arabic"/>
          <w:sz w:val="40"/>
          <w:szCs w:val="40"/>
          <w:rtl/>
        </w:rPr>
        <w:t xml:space="preserve"> توافـر الفرص المتكافئة والعدالة في توزيع البعثات والمهمات العلمية</w:t>
      </w:r>
      <w:r>
        <w:rPr>
          <w:rFonts w:ascii="Traditional Arabic" w:hAnsi="Traditional Arabic" w:cs="Traditional Arabic"/>
          <w:sz w:val="40"/>
          <w:szCs w:val="40"/>
        </w:rPr>
        <w:t xml:space="preserve"> .</w:t>
      </w:r>
    </w:p>
    <w:p w:rsidR="000545DE" w:rsidRDefault="00DC469F">
      <w:pPr>
        <w:pStyle w:val="ListParagraph"/>
        <w:numPr>
          <w:ilvl w:val="0"/>
          <w:numId w:val="1"/>
        </w:numPr>
        <w:bidi/>
        <w:rPr>
          <w:rFonts w:ascii="Traditional Arabic" w:hAnsi="Traditional Arabic" w:cs="Traditional Arabic"/>
          <w:sz w:val="40"/>
          <w:szCs w:val="40"/>
        </w:rPr>
      </w:pPr>
      <w:r>
        <w:rPr>
          <w:rFonts w:ascii="Traditional Arabic" w:hAnsi="Traditional Arabic" w:cs="Traditional Arabic"/>
          <w:sz w:val="40"/>
          <w:szCs w:val="40"/>
          <w:rtl/>
        </w:rPr>
        <w:t xml:space="preserve">توافر الفرص المتكافئة في توزيع الأعباء التدريسية . </w:t>
      </w:r>
    </w:p>
    <w:p w:rsidR="000545DE" w:rsidRDefault="00DC469F">
      <w:pPr>
        <w:pStyle w:val="ListParagraph"/>
        <w:numPr>
          <w:ilvl w:val="0"/>
          <w:numId w:val="1"/>
        </w:numPr>
        <w:bidi/>
        <w:rPr>
          <w:rFonts w:ascii="Traditional Arabic" w:hAnsi="Traditional Arabic" w:cs="Traditional Arabic"/>
          <w:sz w:val="40"/>
          <w:szCs w:val="40"/>
        </w:rPr>
      </w:pPr>
      <w:r>
        <w:rPr>
          <w:rFonts w:ascii="Traditional Arabic" w:hAnsi="Traditional Arabic" w:cs="Traditional Arabic"/>
          <w:sz w:val="40"/>
          <w:szCs w:val="40"/>
          <w:rtl/>
        </w:rPr>
        <w:t>توزيع المكافات والحوافز في ضوء القواعد المتبعة بالكلية</w:t>
      </w:r>
      <w:r>
        <w:rPr>
          <w:rFonts w:ascii="Traditional Arabic" w:hAnsi="Traditional Arabic" w:cs="Traditional Arabic"/>
          <w:sz w:val="40"/>
          <w:szCs w:val="40"/>
        </w:rPr>
        <w:t xml:space="preserve"> . </w:t>
      </w:r>
    </w:p>
    <w:p w:rsidR="000545DE" w:rsidRDefault="00DC469F">
      <w:pPr>
        <w:pStyle w:val="ListParagraph"/>
        <w:numPr>
          <w:ilvl w:val="0"/>
          <w:numId w:val="1"/>
        </w:numPr>
        <w:bidi/>
        <w:rPr>
          <w:rFonts w:ascii="Traditional Arabic" w:hAnsi="Traditional Arabic" w:cs="Traditional Arabic"/>
          <w:sz w:val="40"/>
          <w:szCs w:val="40"/>
        </w:rPr>
      </w:pPr>
      <w:r>
        <w:rPr>
          <w:rFonts w:ascii="Traditional Arabic" w:hAnsi="Traditional Arabic" w:cs="Traditional Arabic"/>
          <w:sz w:val="40"/>
          <w:szCs w:val="40"/>
          <w:rtl/>
        </w:rPr>
        <w:t>وجود معايير للتعيين والترقيات وتطبيق نظام الثواب والعقاب وفقا لنظم الجامعة .</w:t>
      </w:r>
    </w:p>
    <w:p w:rsidR="000545DE" w:rsidRDefault="00DC469F">
      <w:pPr>
        <w:pStyle w:val="ListParagraph"/>
        <w:numPr>
          <w:ilvl w:val="0"/>
          <w:numId w:val="1"/>
        </w:numPr>
        <w:bidi/>
        <w:rPr>
          <w:rFonts w:ascii="Traditional Arabic" w:hAnsi="Traditional Arabic" w:cs="Traditional Arabic"/>
          <w:sz w:val="40"/>
          <w:szCs w:val="40"/>
        </w:rPr>
      </w:pPr>
      <w:r>
        <w:rPr>
          <w:rFonts w:ascii="Traditional Arabic" w:hAnsi="Traditional Arabic" w:cs="Traditional Arabic"/>
          <w:sz w:val="40"/>
          <w:szCs w:val="40"/>
          <w:rtl/>
        </w:rPr>
        <w:t xml:space="preserve"> عدم تعارض المصالح للأطراف المختلفة بالكلية مثل إعلان جدول مبدئي للأمتحانات مع إعطاء فرصة للطلاب والطالبات للتعليق وإبداء الرأي وأن كانت المواعيد غير ملائمة لاي دفعة يتم تعديل الجدول بناء علي مصلحة الطلاب</w:t>
      </w:r>
      <w:r>
        <w:rPr>
          <w:rFonts w:ascii="Traditional Arabic" w:hAnsi="Traditional Arabic" w:cs="Traditional Arabic"/>
          <w:sz w:val="40"/>
          <w:szCs w:val="40"/>
        </w:rPr>
        <w:t xml:space="preserve"> . </w:t>
      </w:r>
    </w:p>
    <w:p w:rsidR="000545DE" w:rsidRDefault="00DC469F">
      <w:pPr>
        <w:pStyle w:val="ListParagraph"/>
        <w:numPr>
          <w:ilvl w:val="0"/>
          <w:numId w:val="1"/>
        </w:numPr>
        <w:bidi/>
        <w:rPr>
          <w:rFonts w:ascii="Traditional Arabic" w:hAnsi="Traditional Arabic" w:cs="Traditional Arabic"/>
          <w:sz w:val="40"/>
          <w:szCs w:val="40"/>
        </w:rPr>
      </w:pPr>
      <w:r>
        <w:rPr>
          <w:rFonts w:ascii="Traditional Arabic" w:hAnsi="Traditional Arabic" w:cs="Traditional Arabic"/>
          <w:sz w:val="40"/>
          <w:szCs w:val="40"/>
          <w:rtl/>
        </w:rPr>
        <w:t>عدم المشاركة في أي أعمال الكنترول في حالة وجود أحد الاقارب من الدرجة الأولي</w:t>
      </w:r>
      <w:r>
        <w:rPr>
          <w:rFonts w:ascii="Traditional Arabic" w:hAnsi="Traditional Arabic" w:cs="Traditional Arabic"/>
          <w:sz w:val="40"/>
          <w:szCs w:val="40"/>
        </w:rPr>
        <w:t xml:space="preserve"> . </w:t>
      </w:r>
    </w:p>
    <w:p w:rsidR="000545DE" w:rsidRDefault="00DC469F">
      <w:pPr>
        <w:pStyle w:val="ListParagraph"/>
        <w:numPr>
          <w:ilvl w:val="0"/>
          <w:numId w:val="1"/>
        </w:numPr>
        <w:bidi/>
        <w:rPr>
          <w:rFonts w:ascii="Traditional Arabic" w:hAnsi="Traditional Arabic" w:cs="Traditional Arabic"/>
          <w:sz w:val="40"/>
          <w:szCs w:val="40"/>
        </w:rPr>
      </w:pPr>
      <w:r>
        <w:rPr>
          <w:rFonts w:ascii="Traditional Arabic" w:hAnsi="Traditional Arabic" w:cs="Traditional Arabic"/>
          <w:sz w:val="40"/>
          <w:szCs w:val="40"/>
          <w:rtl/>
        </w:rPr>
        <w:t>وجود كتيب للتوصيف الوظيفي لمختلف الطوائف بالكلية يحدد الإختصاصات والمسئوليات المختلفة بالكلية</w:t>
      </w:r>
      <w:r>
        <w:rPr>
          <w:rFonts w:ascii="Traditional Arabic" w:hAnsi="Traditional Arabic" w:cs="Traditional Arabic"/>
          <w:sz w:val="40"/>
          <w:szCs w:val="40"/>
        </w:rPr>
        <w:t>.</w:t>
      </w:r>
    </w:p>
    <w:p w:rsidR="000545DE" w:rsidRDefault="000545DE">
      <w:pPr>
        <w:pStyle w:val="ListParagraph"/>
        <w:bidi/>
        <w:ind w:left="804"/>
        <w:rPr>
          <w:rFonts w:ascii="Traditional Arabic" w:hAnsi="Traditional Arabic" w:cs="Traditional Arabic"/>
          <w:sz w:val="40"/>
          <w:szCs w:val="40"/>
        </w:rPr>
      </w:pPr>
    </w:p>
    <w:p w:rsidR="000545DE" w:rsidRDefault="000545DE">
      <w:pPr>
        <w:pStyle w:val="ListParagraph"/>
        <w:bidi/>
        <w:ind w:left="804"/>
        <w:rPr>
          <w:rFonts w:ascii="Traditional Arabic" w:hAnsi="Traditional Arabic" w:cs="Traditional Arabic"/>
          <w:sz w:val="40"/>
          <w:szCs w:val="40"/>
        </w:rPr>
      </w:pPr>
    </w:p>
    <w:p w:rsidR="000545DE" w:rsidRDefault="000545DE">
      <w:pPr>
        <w:pStyle w:val="ListParagraph"/>
        <w:bidi/>
        <w:ind w:left="804"/>
        <w:rPr>
          <w:rFonts w:ascii="Traditional Arabic" w:hAnsi="Traditional Arabic" w:cs="Traditional Arabic"/>
          <w:sz w:val="40"/>
          <w:szCs w:val="40"/>
        </w:rPr>
      </w:pPr>
    </w:p>
    <w:p w:rsidR="000545DE" w:rsidRDefault="000545DE">
      <w:pPr>
        <w:bidi/>
        <w:jc w:val="center"/>
        <w:rPr>
          <w:rFonts w:ascii="Andalus" w:hAnsi="Andalus" w:cs="Andalus"/>
          <w:color w:val="C00000"/>
          <w:sz w:val="44"/>
          <w:szCs w:val="44"/>
        </w:rPr>
      </w:pPr>
    </w:p>
    <w:p w:rsidR="000545DE" w:rsidRDefault="000545DE">
      <w:pPr>
        <w:bidi/>
        <w:rPr>
          <w:rFonts w:ascii="Andalus" w:hAnsi="Andalus" w:cs="Andalus"/>
          <w:color w:val="C00000"/>
          <w:sz w:val="44"/>
          <w:szCs w:val="44"/>
        </w:rPr>
      </w:pPr>
    </w:p>
    <w:p w:rsidR="000545DE" w:rsidRDefault="00DC469F">
      <w:pPr>
        <w:bidi/>
        <w:jc w:val="center"/>
        <w:rPr>
          <w:lang w:eastAsia="en-GB"/>
        </w:rPr>
      </w:pPr>
      <w:r>
        <w:rPr>
          <w:noProof/>
          <w:lang w:val="en-US"/>
        </w:rPr>
        <w:drawing>
          <wp:anchor distT="0" distB="0" distL="114300" distR="114300" simplePos="0" relativeHeight="251659264" behindDoc="0" locked="0" layoutInCell="1" allowOverlap="1">
            <wp:simplePos x="0" y="0"/>
            <wp:positionH relativeFrom="column">
              <wp:posOffset>1142365</wp:posOffset>
            </wp:positionH>
            <wp:positionV relativeFrom="paragraph">
              <wp:posOffset>977265</wp:posOffset>
            </wp:positionV>
            <wp:extent cx="3625215" cy="4526280"/>
            <wp:effectExtent l="0" t="0" r="0" b="8255"/>
            <wp:wrapNone/>
            <wp:docPr id="1" name="Picture 1" descr="Balance - LAKA Engineer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lance - LAKA Engineering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624943" cy="4526115"/>
                    </a:xfrm>
                    <a:prstGeom prst="rect">
                      <a:avLst/>
                    </a:prstGeom>
                    <a:ln>
                      <a:noFill/>
                    </a:ln>
                    <a:effectLst>
                      <a:softEdge rad="112500"/>
                    </a:effectLst>
                  </pic:spPr>
                </pic:pic>
              </a:graphicData>
            </a:graphic>
          </wp:anchor>
        </w:drawing>
      </w:r>
      <w:r>
        <w:rPr>
          <w:rFonts w:ascii="Andalus" w:hAnsi="Andalus" w:cs="Andalus"/>
          <w:color w:val="C00000"/>
          <w:sz w:val="96"/>
          <w:szCs w:val="96"/>
          <w:rtl/>
        </w:rPr>
        <w:t>آلي</w:t>
      </w:r>
      <w:r>
        <w:rPr>
          <w:rFonts w:ascii="Andalus" w:hAnsi="Andalus" w:cs="Andalus" w:hint="cs"/>
          <w:color w:val="C00000"/>
          <w:sz w:val="96"/>
          <w:szCs w:val="96"/>
          <w:rtl/>
        </w:rPr>
        <w:t>ــــــ</w:t>
      </w:r>
      <w:r>
        <w:rPr>
          <w:rFonts w:ascii="Andalus" w:hAnsi="Andalus" w:cs="Andalus"/>
          <w:color w:val="C00000"/>
          <w:sz w:val="96"/>
          <w:szCs w:val="96"/>
          <w:rtl/>
        </w:rPr>
        <w:t>ات وممارسـات العـدالـة</w:t>
      </w:r>
      <w:r>
        <w:rPr>
          <w:lang w:eastAsia="en-GB"/>
        </w:rPr>
        <w:t xml:space="preserve"> </w:t>
      </w:r>
    </w:p>
    <w:p w:rsidR="000545DE" w:rsidRDefault="000545DE">
      <w:pPr>
        <w:bidi/>
        <w:jc w:val="center"/>
        <w:rPr>
          <w:rFonts w:ascii="Traditional Arabic" w:hAnsi="Traditional Arabic" w:cs="Traditional Arabic"/>
          <w:sz w:val="40"/>
          <w:szCs w:val="40"/>
        </w:rPr>
      </w:pPr>
    </w:p>
    <w:p w:rsidR="000545DE" w:rsidRDefault="000545DE">
      <w:pPr>
        <w:bidi/>
        <w:jc w:val="center"/>
        <w:rPr>
          <w:rFonts w:ascii="Traditional Arabic" w:hAnsi="Traditional Arabic" w:cs="Traditional Arabic"/>
          <w:sz w:val="40"/>
          <w:szCs w:val="40"/>
        </w:rPr>
      </w:pPr>
    </w:p>
    <w:p w:rsidR="000545DE" w:rsidRDefault="000545DE">
      <w:pPr>
        <w:bidi/>
        <w:jc w:val="center"/>
        <w:rPr>
          <w:rFonts w:ascii="Traditional Arabic" w:hAnsi="Traditional Arabic" w:cs="Traditional Arabic"/>
          <w:sz w:val="40"/>
          <w:szCs w:val="40"/>
        </w:rPr>
      </w:pPr>
    </w:p>
    <w:p w:rsidR="000545DE" w:rsidRDefault="000545DE">
      <w:pPr>
        <w:bidi/>
        <w:jc w:val="center"/>
        <w:rPr>
          <w:rFonts w:ascii="Traditional Arabic" w:hAnsi="Traditional Arabic" w:cs="Traditional Arabic"/>
          <w:sz w:val="40"/>
          <w:szCs w:val="40"/>
        </w:rPr>
      </w:pPr>
    </w:p>
    <w:p w:rsidR="000545DE" w:rsidRDefault="000545DE">
      <w:pPr>
        <w:bidi/>
        <w:jc w:val="center"/>
        <w:rPr>
          <w:rFonts w:ascii="Traditional Arabic" w:hAnsi="Traditional Arabic" w:cs="Traditional Arabic"/>
          <w:sz w:val="40"/>
          <w:szCs w:val="40"/>
        </w:rPr>
      </w:pPr>
    </w:p>
    <w:p w:rsidR="000545DE" w:rsidRDefault="000545DE">
      <w:pPr>
        <w:bidi/>
        <w:jc w:val="center"/>
        <w:rPr>
          <w:rFonts w:ascii="Traditional Arabic" w:hAnsi="Traditional Arabic" w:cs="Traditional Arabic"/>
          <w:sz w:val="40"/>
          <w:szCs w:val="40"/>
        </w:rPr>
      </w:pPr>
    </w:p>
    <w:p w:rsidR="000545DE" w:rsidRDefault="000545DE">
      <w:pPr>
        <w:bidi/>
        <w:jc w:val="center"/>
        <w:rPr>
          <w:rFonts w:ascii="Traditional Arabic" w:hAnsi="Traditional Arabic" w:cs="Traditional Arabic"/>
          <w:sz w:val="40"/>
          <w:szCs w:val="40"/>
        </w:rPr>
      </w:pPr>
    </w:p>
    <w:p w:rsidR="000545DE" w:rsidRDefault="000545DE">
      <w:pPr>
        <w:bidi/>
        <w:jc w:val="center"/>
        <w:rPr>
          <w:rFonts w:ascii="Traditional Arabic" w:hAnsi="Traditional Arabic" w:cs="Traditional Arabic"/>
          <w:sz w:val="40"/>
          <w:szCs w:val="40"/>
        </w:rPr>
      </w:pPr>
    </w:p>
    <w:p w:rsidR="000545DE" w:rsidRDefault="000545DE">
      <w:pPr>
        <w:bidi/>
        <w:jc w:val="center"/>
        <w:rPr>
          <w:rFonts w:ascii="Traditional Arabic" w:hAnsi="Traditional Arabic" w:cs="Traditional Arabic"/>
          <w:sz w:val="40"/>
          <w:szCs w:val="40"/>
        </w:rPr>
      </w:pPr>
    </w:p>
    <w:p w:rsidR="000545DE" w:rsidRDefault="000545DE">
      <w:pPr>
        <w:bidi/>
        <w:jc w:val="center"/>
        <w:rPr>
          <w:rFonts w:asciiTheme="majorHAnsi" w:hAnsiTheme="majorHAnsi" w:cstheme="majorHAnsi"/>
          <w:b/>
          <w:bCs/>
          <w:sz w:val="28"/>
          <w:szCs w:val="28"/>
        </w:rPr>
      </w:pPr>
    </w:p>
    <w:p w:rsidR="00DC469F" w:rsidRDefault="00DC469F">
      <w:pPr>
        <w:bidi/>
        <w:jc w:val="center"/>
        <w:rPr>
          <w:rFonts w:asciiTheme="majorHAnsi" w:hAnsiTheme="majorHAnsi" w:cstheme="majorHAnsi"/>
          <w:b/>
          <w:bCs/>
          <w:sz w:val="28"/>
          <w:szCs w:val="28"/>
        </w:rPr>
      </w:pPr>
    </w:p>
    <w:p w:rsidR="00DC469F" w:rsidRDefault="00DC469F" w:rsidP="00DC469F">
      <w:pPr>
        <w:bidi/>
        <w:jc w:val="center"/>
        <w:rPr>
          <w:rFonts w:asciiTheme="majorHAnsi" w:hAnsiTheme="majorHAnsi" w:cstheme="majorHAnsi"/>
          <w:b/>
          <w:bCs/>
          <w:sz w:val="28"/>
          <w:szCs w:val="28"/>
        </w:rPr>
      </w:pPr>
    </w:p>
    <w:p w:rsidR="000545DE" w:rsidRDefault="000545DE" w:rsidP="00DC469F">
      <w:pPr>
        <w:bidi/>
        <w:jc w:val="center"/>
        <w:rPr>
          <w:rFonts w:ascii="Traditional Arabic" w:hAnsi="Traditional Arabic" w:cs="Traditional Arabic"/>
          <w:sz w:val="40"/>
          <w:szCs w:val="40"/>
          <w:lang w:val="en-US"/>
        </w:rPr>
      </w:pPr>
      <w:bookmarkStart w:id="0" w:name="_GoBack"/>
      <w:bookmarkEnd w:id="0"/>
    </w:p>
    <w:sectPr w:rsidR="000545DE">
      <w:headerReference w:type="default" r:id="rId10"/>
      <w:pgSz w:w="11906" w:h="16838"/>
      <w:pgMar w:top="1440" w:right="1440" w:bottom="1440" w:left="1440" w:header="709" w:footer="709" w:gutter="0"/>
      <w:pgBorders w:offsetFrom="page">
        <w:top w:val="birdsFlight" w:sz="5" w:space="24" w:color="auto"/>
        <w:left w:val="birdsFlight" w:sz="5" w:space="24" w:color="auto"/>
        <w:bottom w:val="birdsFlight" w:sz="5" w:space="24" w:color="auto"/>
        <w:right w:val="birdsFlight" w:sz="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3D6" w:rsidRDefault="003143D6">
      <w:pPr>
        <w:spacing w:line="240" w:lineRule="auto"/>
      </w:pPr>
      <w:r>
        <w:separator/>
      </w:r>
    </w:p>
  </w:endnote>
  <w:endnote w:type="continuationSeparator" w:id="0">
    <w:p w:rsidR="003143D6" w:rsidRDefault="003143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3D6" w:rsidRDefault="003143D6">
      <w:pPr>
        <w:spacing w:after="0"/>
      </w:pPr>
      <w:r>
        <w:separator/>
      </w:r>
    </w:p>
  </w:footnote>
  <w:footnote w:type="continuationSeparator" w:id="0">
    <w:p w:rsidR="003143D6" w:rsidRDefault="003143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DE" w:rsidRDefault="00DC469F">
    <w:pPr>
      <w:pStyle w:val="Header"/>
    </w:pPr>
    <w:r>
      <w:rPr>
        <w:noProof/>
        <w:color w:val="000000"/>
        <w:lang w:val="en-US"/>
      </w:rPr>
      <w:drawing>
        <wp:anchor distT="0" distB="0" distL="114300" distR="114300" simplePos="0" relativeHeight="251660288" behindDoc="0" locked="0" layoutInCell="1" allowOverlap="1">
          <wp:simplePos x="0" y="0"/>
          <wp:positionH relativeFrom="page">
            <wp:posOffset>31750</wp:posOffset>
          </wp:positionH>
          <wp:positionV relativeFrom="paragraph">
            <wp:posOffset>-313055</wp:posOffset>
          </wp:positionV>
          <wp:extent cx="7467600" cy="13716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467600" cy="1371600"/>
                  </a:xfrm>
                  <a:prstGeom prst="rect">
                    <a:avLst/>
                  </a:prstGeom>
                </pic:spPr>
              </pic:pic>
            </a:graphicData>
          </a:graphic>
        </wp:anchor>
      </w:drawing>
    </w:r>
  </w:p>
  <w:p w:rsidR="000545DE" w:rsidRDefault="00DC469F">
    <w:pPr>
      <w:pStyle w:val="Header"/>
    </w:pPr>
    <w:r>
      <w:rPr>
        <w:noProof/>
        <w:color w:val="000000"/>
        <w:lang w:val="en-US"/>
      </w:rPr>
      <mc:AlternateContent>
        <mc:Choice Requires="wps">
          <w:drawing>
            <wp:anchor distT="0" distB="0" distL="114300" distR="114300" simplePos="0" relativeHeight="251661312" behindDoc="0" locked="0" layoutInCell="1" allowOverlap="1">
              <wp:simplePos x="0" y="0"/>
              <wp:positionH relativeFrom="column">
                <wp:posOffset>3657600</wp:posOffset>
              </wp:positionH>
              <wp:positionV relativeFrom="paragraph">
                <wp:posOffset>431165</wp:posOffset>
              </wp:positionV>
              <wp:extent cx="914400"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rsidR="000545DE" w:rsidRDefault="00DC469F">
                          <w:pPr>
                            <w:rPr>
                              <w:rFonts w:ascii="Calibri" w:hAnsi="Calibri" w:cs="Calibri"/>
                              <w:b/>
                              <w:bCs/>
                              <w:color w:val="002060"/>
                              <w:sz w:val="24"/>
                              <w:szCs w:val="24"/>
                              <w:lang w:bidi="ar-EG"/>
                            </w:rPr>
                          </w:pPr>
                          <w:r>
                            <w:rPr>
                              <w:rFonts w:ascii="Calibri" w:hAnsi="Calibri" w:cs="Times New Roman"/>
                              <w:b/>
                              <w:bCs/>
                              <w:color w:val="002060"/>
                              <w:sz w:val="24"/>
                              <w:szCs w:val="24"/>
                              <w:rtl/>
                            </w:rPr>
                            <w:t xml:space="preserve">كلية طب وجراحة الفم والاسنان </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_x0000_s1026" o:spid="_x0000_s1026" o:spt="202" type="#_x0000_t202" style="position:absolute;left:0pt;margin-left:288pt;margin-top:33.95pt;height:72pt;width:72pt;mso-wrap-style:none;z-index:251661312;mso-width-relative:page;mso-height-relative:page;" filled="f" stroked="f" coordsize="21600,21600" o:gfxdata="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SpY3dsAAAAKAQAADwAAAAAAAAABACAAAAAiAAAAZHJzL2Rvd25yZXYueG1sUEsBAhQAFAAAAAgA&#10;h07iQC0tbhkiAgAAYgQAAA4AAAAAAAAAAQAgAAAAKgEAAGRycy9lMm9Eb2MueG1sUEsFBgAAAAAG&#10;AAYAWQEAAL4FAAAAAA==&#10;">
              <v:fill on="f" focussize="0,0"/>
              <v:stroke on="f" weight="0.5pt"/>
              <v:imagedata o:title=""/>
              <o:lock v:ext="edit" aspectratio="f"/>
              <v:textbox>
                <w:txbxContent>
                  <w:p>
                    <w:pPr>
                      <w:rPr>
                        <w:rFonts w:ascii="Calibri" w:hAnsi="Calibri" w:cs="Calibri"/>
                        <w:b/>
                        <w:bCs/>
                        <w:color w:val="002060"/>
                        <w:sz w:val="24"/>
                        <w:szCs w:val="24"/>
                        <w:lang w:bidi="ar-EG"/>
                      </w:rPr>
                    </w:pPr>
                    <w:r>
                      <w:rPr>
                        <w:rFonts w:ascii="Calibri" w:hAnsi="Calibri" w:cs="Calibri"/>
                        <w:b/>
                        <w:bCs/>
                        <w:color w:val="002060"/>
                        <w:sz w:val="24"/>
                        <w:szCs w:val="24"/>
                        <w:rtl/>
                      </w:rPr>
                      <w:t xml:space="preserve">كلية طب وجراحة الفم والاسنان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63B21"/>
    <w:multiLevelType w:val="multilevel"/>
    <w:tmpl w:val="78563B21"/>
    <w:lvl w:ilvl="0">
      <w:start w:val="1"/>
      <w:numFmt w:val="decimal"/>
      <w:lvlText w:val="%1."/>
      <w:lvlJc w:val="left"/>
      <w:pPr>
        <w:ind w:left="804" w:hanging="360"/>
      </w:pPr>
    </w:lvl>
    <w:lvl w:ilvl="1">
      <w:start w:val="1"/>
      <w:numFmt w:val="lowerLetter"/>
      <w:lvlText w:val="%2."/>
      <w:lvlJc w:val="left"/>
      <w:pPr>
        <w:ind w:left="1524" w:hanging="360"/>
      </w:pPr>
    </w:lvl>
    <w:lvl w:ilvl="2">
      <w:start w:val="1"/>
      <w:numFmt w:val="lowerRoman"/>
      <w:lvlText w:val="%3."/>
      <w:lvlJc w:val="right"/>
      <w:pPr>
        <w:ind w:left="2244" w:hanging="180"/>
      </w:pPr>
    </w:lvl>
    <w:lvl w:ilvl="3">
      <w:start w:val="1"/>
      <w:numFmt w:val="decimal"/>
      <w:lvlText w:val="%4."/>
      <w:lvlJc w:val="left"/>
      <w:pPr>
        <w:ind w:left="2964" w:hanging="360"/>
      </w:pPr>
    </w:lvl>
    <w:lvl w:ilvl="4">
      <w:start w:val="1"/>
      <w:numFmt w:val="lowerLetter"/>
      <w:lvlText w:val="%5."/>
      <w:lvlJc w:val="left"/>
      <w:pPr>
        <w:ind w:left="3684" w:hanging="360"/>
      </w:pPr>
    </w:lvl>
    <w:lvl w:ilvl="5">
      <w:start w:val="1"/>
      <w:numFmt w:val="lowerRoman"/>
      <w:lvlText w:val="%6."/>
      <w:lvlJc w:val="right"/>
      <w:pPr>
        <w:ind w:left="4404" w:hanging="180"/>
      </w:pPr>
    </w:lvl>
    <w:lvl w:ilvl="6">
      <w:start w:val="1"/>
      <w:numFmt w:val="decimal"/>
      <w:lvlText w:val="%7."/>
      <w:lvlJc w:val="left"/>
      <w:pPr>
        <w:ind w:left="5124" w:hanging="360"/>
      </w:pPr>
    </w:lvl>
    <w:lvl w:ilvl="7">
      <w:start w:val="1"/>
      <w:numFmt w:val="lowerLetter"/>
      <w:lvlText w:val="%8."/>
      <w:lvlJc w:val="left"/>
      <w:pPr>
        <w:ind w:left="5844" w:hanging="360"/>
      </w:pPr>
    </w:lvl>
    <w:lvl w:ilvl="8">
      <w:start w:val="1"/>
      <w:numFmt w:val="lowerRoman"/>
      <w:lvlText w:val="%9."/>
      <w:lvlJc w:val="right"/>
      <w:pPr>
        <w:ind w:left="65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59"/>
    <w:rsid w:val="000545DE"/>
    <w:rsid w:val="003143D6"/>
    <w:rsid w:val="00785F82"/>
    <w:rsid w:val="007932B9"/>
    <w:rsid w:val="007968FC"/>
    <w:rsid w:val="00AF2526"/>
    <w:rsid w:val="00D33E59"/>
    <w:rsid w:val="00DC469F"/>
    <w:rsid w:val="00E15848"/>
    <w:rsid w:val="2FA834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elzakzouk</dc:creator>
  <cp:lastModifiedBy>dr.nermeen</cp:lastModifiedBy>
  <cp:revision>2</cp:revision>
  <cp:lastPrinted>2022-03-28T09:16:00Z</cp:lastPrinted>
  <dcterms:created xsi:type="dcterms:W3CDTF">2022-09-19T08:21:00Z</dcterms:created>
  <dcterms:modified xsi:type="dcterms:W3CDTF">2022-09-19T08:21:00Z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CBFBD1BD40A94A3EB3874C627A8720EA</vt:lpwstr>
  </property>
</Properties>
</file>